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UVAV — Anzeige durch Datenübertragung</w:t>
      </w:r>
    </w:p>
    <w:p>
      <w:r>
        <w:rPr>
          <w:color w:val="555555"/>
          <w:sz w:val="18"/>
        </w:rPr>
        <w:t xml:space="preserve">Unfallversicherungs-Anzeigeverordnung</w:t>
      </w:r>
    </w:p>
    <w:p>
      <w:r>
        <w:rPr>
          <w:color w:val="555555"/>
          <w:sz w:val="18"/>
        </w:rPr>
        <w:t xml:space="preserve">Historische Fassung: Stand 10.06.2019 bis 01.01.2024. Dies ist nicht die aktuelle Fassung.</w:t>
      </w:r>
    </w:p>
    <w:p>
      <w:r>
        <w:t xml:space="preserve">(1) Anzeigen nach § 2 oder § 3 und ihre Kopien können im Einvernehmen mit den Anzeigeempfängern auch durch Datenübertragung übermittelt werden, sofern die Darstellung der Anzeige nach Form und Inhalt dieselben Felder und Texte wie das für die Anzeige vorgesehene Formular enthält.</w:t>
      </w:r>
    </w:p>
    <w:p>
      <w:r>
        <w:t xml:space="preserve">(2) Wird die Anzeige durch Datenübertragung erstattet, ist in ihr anzugeben, welches Mitglied des Betriebs- oder Personalrats vor der Absendung von ihr Kenntnis genommen hat.</w:t>
      </w:r>
    </w:p>
    <w:p>
      <w:r>
        <w:t xml:space="preserve">(3) Bei der Datenübertragung sind geeignete Maßnahmen zur Sicherstellung von Datenschutz und Datensicherheit nach dem jeweiligen Stand der Technik vorzusehen; bei der Nutzung allgemein zugänglicher Netze sind Verschlüsselungsverfahren anzuwenden.</w:t>
      </w:r>
    </w:p>
    <w:p>
      <w:r>
        <w:rPr>
          <w:color w:val="555555"/>
          <w:sz w:val="17"/>
        </w:rPr>
        <w:t xml:space="preserve">Zitiervorschlag: § 5 UVAV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https://recht.nulegal.eu/gesetze/uvav--2002/5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