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UVAV — Anzeige von Unfällen</w:t>
      </w:r>
    </w:p>
    <w:p>
      <w:r>
        <w:rPr>
          <w:color w:val="555555"/>
          <w:sz w:val="18"/>
        </w:rPr>
        <w:t xml:space="preserve">Unfallversicherungs-Anzeigeverordnung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Unfälle von Versicherten sind auf einem Vordruck nach dem Muster der Anlage 1 anzuzeigen.</w:t>
      </w:r>
    </w:p>
    <w:p>
      <w:r>
        <w:t xml:space="preserve">(2) Unfälle von Kindern, von Schülerinnen und Schülern sowie von Studierenden nach § 2 Absatz 1 Nummer 8 des Siebten Buches Sozialgesetzbuch sind auf einem Vordruck nach dem Muster der Anlage 2 anzuzeigen.</w:t>
      </w:r>
    </w:p>
    <w:p>
      <w:r>
        <w:rPr>
          <w:color w:val="555555"/>
          <w:sz w:val="17"/>
        </w:rPr>
        <w:t xml:space="preserve">Zitiervorschlag: § 2 UVAV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https://recht.nulegal.eu/gesetze/uvav--2002/2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