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UStSchlFestV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5a Absatz 3 Satz 1 und des § 5c des Gemeindefinanzreformgesetzes, die zuletzt durch Artikel 3 des Gesetzes vom 21. November 2016 (BGBl. I S. 2613) geändert worden sind und des § 17 Absatz 2 in Verbindung mit Absatz 1 des Finanzausgleichsgesetzes, von dem Absatz 1 zuletzt durch Artikel 4 des Gesetzes vom 21. November 2016 (BGBl. I S. 2613)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UStSchlFestV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https://recht.nulegal.eu/gesetze/ustschlfestv--2018/eingangsformel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