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UStSchlFestV</w:t>
      </w:r>
    </w:p>
    <w:p>
      <w:r>
        <w:rPr>
          <w:color w:val="555555"/>
          <w:sz w:val="18"/>
        </w:rPr>
        <w:t xml:space="preserve">Umsatzsteuerschlüsselzahlenfestsetzungsverordnung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Diese Verordnung tritt mit Wirkung vom 1. Januar 2018 in Kraft und am 31. Dezember 2020 außer Kraft.</w:t>
      </w:r>
    </w:p>
    <w:p>
      <w:r>
        <w:rPr>
          <w:color w:val="555555"/>
          <w:sz w:val="17"/>
        </w:rPr>
        <w:t xml:space="preserve">Zitiervorschlag: § 7 UStSchlFestV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https://recht.nulegal.eu/gesetze/ustschlfestv--2018/7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