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UStSchlFestV</w:t>
      </w:r>
    </w:p>
    <w:p>
      <w:r>
        <w:rPr>
          <w:color w:val="555555"/>
          <w:sz w:val="18"/>
        </w:rPr>
        <w:t xml:space="preserve">Umsatzsteuerschlüsselzahlenfestsetzungsverordnung</w:t>
      </w:r>
    </w:p>
    <w:p>
      <w:r>
        <w:rPr>
          <w:color w:val="555555"/>
          <w:sz w:val="18"/>
        </w:rPr>
        <w:t xml:space="preserve">Historische Fassung: Stand 10.06.2019 bis 01.01.2021. Dies ist nicht die aktuelle Fassung.</w:t>
      </w:r>
    </w:p>
    <w:p>
      <w:r>
        <w:t xml:space="preserve">(1) Bei kommunalen Neugliederungen nach dem 31. Dezember 2016 sind die Schlüsselzahlen nach § 5a des Gemeindefinanzreformgesetzes der betroffenen Gemeinden von dem auf die Neugliederung folgenden Jahr an durch das betroffene Land neu festzusetzen. Tritt die Neugliederung mit Beginn des Jahres in Kraft, ist die Schlüsselzahl ab diesem Zeitpunkt neu festzusetzen. Bei der Neufestsetzung sind die Schlüsselzahlen der betroffenen Gemeinden den neu- oder umgebildeten Gemeinden im Verhältnis der in sie aufgenommenen Einwohnerinnen und Einwohner zuzurechnen. Die Schlüsselzahlen nach § 1 bleiben unberührt.</w:t>
      </w:r>
    </w:p>
    <w:p>
      <w:r>
        <w:t xml:space="preserve">(2) Bei der Umgliederung von Gemeinden zwischen Ländern sind die aus den Bundessummen abgeleiteten Schlüsselzahlen der betroffenen Gemeinden dem Land zuzurechnen, in das die Gemeinden umgegliedert wurden. § 1 ist entsprechend anzupassen.</w:t>
      </w:r>
    </w:p>
    <w:p>
      <w:r>
        <w:rPr>
          <w:color w:val="555555"/>
          <w:sz w:val="17"/>
        </w:rPr>
        <w:t xml:space="preserve">Zitiervorschlag: § 5 UStSchlFestV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https://recht.nulegal.eu/gesetze/ustschlfestv--2018/5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