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UStSchlFestV</w:t>
      </w:r>
    </w:p>
    <w:p>
      <w:r>
        <w:rPr>
          <w:color w:val="555555"/>
          <w:sz w:val="18"/>
        </w:rPr>
        <w:t xml:space="preserve">Umsatzsteuerschlüsselzahlenfestsetzungsverordnung</w:t>
      </w:r>
    </w:p>
    <w:p>
      <w:r>
        <w:rPr>
          <w:color w:val="555555"/>
          <w:sz w:val="18"/>
        </w:rPr>
        <w:t xml:space="preserve">Historische Fassung: Stand 10.06.2019 bis 01.01.2021. Dies ist nicht die aktuelle Fassung.</w:t>
      </w:r>
    </w:p>
    <w:p>
      <w:r>
        <w:t xml:space="preserve">(1) Für die der Ermittlung der Schlüsselzahlen nach § 5a Absatz 2 Satz 2 Nummer 1 des Gemeindefinanzreformgesetzes zu Grunde zu legende Summe des Gewerbesteueraufkommens sind die Jahre 2010 bis 2015 des Realsteuervergleichs nach § 4 Nummer 2 des Finanz- und Personalstatistikgesetzes maßgebend.</w:t>
      </w:r>
    </w:p>
    <w:p>
      <w:r>
        <w:t xml:space="preserve">(2) Ergibt sich für eine Gemeinde wegen negativen Gewerbesteueraufkommens in den Referenzjahren für die Summe der Gewerbesteueraufkommen nach § 5a Absatz 2 Satz 2 Nummer 1 des Gemeindefinanzreformgesetzes ein negativer Wert, wird von einer Summe des Gewerbesteueraufkommens von null ausgegangen.</w:t>
      </w:r>
    </w:p>
    <w:p>
      <w:r>
        <w:t xml:space="preserve">(3) Für die der Ermittlung der Schlüsselzahlen nach § 5a Absatz 2 Satz 2 Nummer 2 des Gemeindefinanzreformgesetzes zu Grunde zu legende Anzahl der sozialversicherungspflichtig Beschäftigten am Arbeitsort sind die Ergebnisse der Statistik sozialversicherungspflichtig Beschäftigter für die Jahre 2013 bis 2015 nach § 281 des Dritten Buches Sozialgesetzbuch – Arbeitsförderung – (Artikel 1 des Gesetzes vom 24. März 1997, BGBl. I S. 594, 595), das zuletzt durch Artikel 2 des Gesetzes vom 17. Juli 2017 (BGBl. I S. 2581) geändert worden ist, jeweils mit Stand vom 30. Juni maßgebend.</w:t>
      </w:r>
    </w:p>
    <w:p>
      <w:r>
        <w:t xml:space="preserve">(4) Für die der Ermittlung der Schlüsselzahlen nach § 5a Absatz 2 Satz 2 Nummer 3 des Gemeindefinanzreformgesetzes zu Grunde zu legenden Beträge der sozialversicherungspflichtigen Entgelte am Arbeitsort sind die Ergebnisse der Statistik sozialversicherungspflichtiger Entgelte für die Jahre 2012 bis 2014 nach § 281 des Dritten Buches Sozialgesetzbuch – Arbeitsförderung – (Artikel 1 des Gesetzes vom 24. März 1997, BGBl. I S. 594, 595), das zuletzt durch Artikel 2 des Gesetzes vom 17. Juli 2017 (BGBl. I S. 2581) geändert worden ist, als Jahressumme maßgebend.</w:t>
      </w:r>
    </w:p>
    <w:p>
      <w:r>
        <w:t xml:space="preserve">(5) Dem Schlüssel werden aus den Statistiken sozialversicherungspflichtig Beschäftigter und sozialversicherungspflichtiger Entgelte die Anzahl und Beträge insgesamt zu Grunde gelegt; nicht zu berücksichtigen sind dabei die nach der Klassifikation für die Wirtschaftszweige WZ 2008 den Wirtschaftsgruppen mit den Nummern 841, 842, 843, 851, 852, 853, 854, 910, 990 zugeordneten Beschäftigten von Gebietskörperschaften und Sozialversicherungen sowie deren Einrichtungen.</w:t>
      </w:r>
    </w:p>
    <w:p>
      <w:r>
        <w:t xml:space="preserve">(6) Liegen für Gemeinden für ein oder mehrere Erhebungsjahre hinsichtlich der Merkmale nach § 5a Absatz 2 Satz 2 Nummer 2 und 3 des Gemeindefinanzreformgesetzes offensichtlich fehlerhafte Angaben vor, ist es zulässig, dass das Statistische Bundesamt die Angaben in Abstimmung mit der Bundesagentur für Arbeit schätzt.</w:t>
      </w:r>
    </w:p>
    <w:p>
      <w:r>
        <w:rPr>
          <w:color w:val="555555"/>
          <w:sz w:val="17"/>
        </w:rPr>
        <w:t xml:space="preserve">Zitiervorschlag: § 2 UStSchlFestV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https://recht.nulegal.eu/gesetze/ustschlfestv--2018/2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