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TrGebV — Gebührenschuldner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Historische Fassung: Stand 10.06.2019 bis 26.01.2020. Dies ist nicht die aktuelle Fassung.</w:t>
      </w:r>
    </w:p>
    <w:p>
      <w:r>
        <w:t xml:space="preserve">Nimmt eine Rechtsgestaltung nach § 21 des Geldwäschegesetzes eine Leistung in Anspruch, so ist der Gebührenschuldner der Verwalter des Trusts nach § 21 Absatz 1 des Geldwäschegesetzes oder der Treuhänder nach § 21 Absatz 2 des Geldwäschegesetzes.</w:t>
      </w:r>
    </w:p>
    <w:p>
      <w:r>
        <w:rPr>
          <w:color w:val="555555"/>
          <w:sz w:val="17"/>
        </w:rPr>
        <w:t xml:space="preserve">Zitiervorschlag: § 2 TrGebV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https://recht.nulegal.eu/gesetze/trgebv--2017/2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