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TrGebV — Gebührenerhebung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Historische Fassung: Stand 10.06.2019 bis 26.01.2020. Dies ist nicht die aktuelle Fassung.</w:t>
      </w:r>
    </w:p>
    <w:p>
      <w:r>
        <w:t xml:space="preserve">Für individuell zurechenbare öffentliche Leistungen nach Abschnitt 4 des Geldwäschegesetzes erhebt die registerführende Stelle Gebühren nach der Anlage.</w:t>
      </w:r>
    </w:p>
    <w:p>
      <w:r>
        <w:rPr>
          <w:color w:val="555555"/>
          <w:sz w:val="17"/>
        </w:rPr>
        <w:t xml:space="preserve">Zitiervorschlag: § 1 TrGebV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https://recht.nulegal.eu/gesetze/trgebv--2017/1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