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TrEinV — Antrag auf Einsichtnahme</w:t>
      </w:r>
    </w:p>
    <w:p>
      <w:r>
        <w:rPr>
          <w:color w:val="555555"/>
          <w:sz w:val="18"/>
        </w:rPr>
        <w:t xml:space="preserve">Transparenzregistereinsichtnahmeverordnung</w:t>
      </w:r>
    </w:p>
    <w:p>
      <w:r>
        <w:rPr>
          <w:color w:val="555555"/>
          <w:sz w:val="18"/>
        </w:rPr>
        <w:t xml:space="preserve">Historische Fassung: Stand 27.01.2022 bis 23.03.2023. Dies ist nicht die aktuelle Fassung.</w:t>
      </w:r>
    </w:p>
    <w:p>
      <w:r>
        <w:t xml:space="preserve">(1) Ein Antrag auf Einsichtnahme in das Transparenzregister ist ausschließlich über die Internetseite des Transparenzregisters www.transparenzregister.de möglich.</w:t>
      </w:r>
    </w:p>
    <w:p>
      <w:r>
        <w:t xml:space="preserve">(2) Der Antrag muss bezeichnen, für welche Vereinigung nach § 20 Absatz 1 des Geldwäschegesetzes oder für welche Rechtsgestaltung nach § 21 Absatz 1 und 2 des Geldwäschegesetzes oder im Fall des § 23 Absatz 3 Satz 1 des Geldwäschegesetzes für welche natürliche Person und für welchen Zeitraum oder Zeitpunkt der Nutzer die Einsichtnahme in das Transparenzregister beantragt.</w:t>
      </w:r>
    </w:p>
    <w:p>
      <w:r>
        <w:t xml:space="preserve">(3) Der Antrag, einschließlich die Bestätigung oder Darlegung zur Berechtigung der Einsichtnahme, ist zwei Jahre nach der Entscheidung über den Antrag von der registerführenden Stelle unverzüglich zu löschen. Andere gesetzliche Bestimmungen über Aufzeichnungs- und Aufbewahrungspflichten bleiben unberührt.</w:t>
      </w:r>
    </w:p>
    <w:p>
      <w:r>
        <w:rPr>
          <w:color w:val="555555"/>
          <w:sz w:val="17"/>
        </w:rPr>
        <w:t xml:space="preserve">Zitiervorschlag: § 5 TrEinV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https://recht.nulegal.eu/gesetze/treinv--2017/5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