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TrEinV — Identitätsnachweis bei Registrierung oder Einsichtnahme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Historische Fassung: Stand 30.06.2020 bis 23.03.2023. Dies ist nicht die aktuelle Fassung.</w:t>
      </w:r>
    </w:p>
    <w:p>
      <w:r>
        <w:t xml:space="preserve">(1) Der Nutzer belegt nach den Vorgaben der registerführenden Stelle innerhalb des Registrierungsvorganges oder des Antrags auf Einsichtnahme seine Identität anhand geeigneter Nachweise.</w:t>
      </w:r>
    </w:p>
    <w:p>
      <w:r>
        <w:t xml:space="preserve">(2) Als Identitätsnachweis geeignet gelten</w:t>
      </w:r>
    </w:p>
    <w:p>
      <w:pPr>
        <w:ind w:left="420"/>
      </w:pPr>
      <w:r>
        <w:t xml:space="preserve">1. bei natürlichen Personen</w:t>
      </w:r>
    </w:p>
    <w:p>
      <w:pPr>
        <w:ind w:left="780"/>
      </w:pPr>
      <w:r>
        <w:t xml:space="preserve">a) eine Kopie eines gültigen amtlichen Ausweises, der ein Lichtbild des Inhabers enthält und mit dem die Pass- und Ausweispflicht im Inland erfüllt wird, insbesondere</w:t>
      </w:r>
    </w:p>
    <w:p>
      <w:pPr>
        <w:ind w:left="1140"/>
      </w:pPr>
      <w:r>
        <w:t xml:space="preserve">aa) eine Kopie eines inländischen Passes, Personalausweises oder Pass- oder Ausweisersatzes oder</w:t>
      </w:r>
    </w:p>
    <w:p>
      <w:pPr>
        <w:ind w:left="1140"/>
      </w:pPr>
      <w:r>
        <w:t xml:space="preserve">bb) eine Kopie eines nach ausländerrechtlichen Bestimmungen anerkannten oder zugelassenen Passes, Personalausweises oder Pass- oder Ausweisersatzes,</w:t>
      </w:r>
    </w:p>
    <w:p>
      <w:pPr>
        <w:ind w:left="780"/>
      </w:pPr>
      <w:r>
        <w:t xml:space="preserve">b) eine Kopie der Dokumente nach § 1 Absatz 1 der Zahlungskonto-Identitätsprüfungsverordnung und</w:t>
      </w:r>
    </w:p>
    <w:p>
      <w:pPr>
        <w:ind w:left="780"/>
      </w:pPr>
      <w:r>
        <w:t xml:space="preserve">c) einer der in § 12 Absatz 1 Satz 1 Nummer 2 bis 4 des Geldwäschegesetzes vorgesehenen Nachweise sowie</w:t>
      </w:r>
    </w:p>
    <w:p>
      <w:pPr>
        <w:ind w:left="420"/>
      </w:pPr>
      <w:r>
        <w:t xml:space="preserve">2. bei nicht natürlichen Personen</w:t>
      </w:r>
    </w:p>
    <w:p>
      <w:pPr>
        <w:ind w:left="780"/>
      </w:pPr>
      <w:r>
        <w:t xml:space="preserve">a) eine Kopie eines der in § 12 Absatz 2 Nummer 1 und 2 des Geldwäschegesetzes genannten Nachweise und</w:t>
      </w:r>
    </w:p>
    <w:p>
      <w:pPr>
        <w:ind w:left="780"/>
      </w:pPr>
      <w:r>
        <w:t xml:space="preserve">b) die gültige Kennung für Rechtsträger.</w:t>
      </w:r>
    </w:p>
    <w:p>
      <w:r>
        <w:t xml:space="preserve">(3) In den Fällen des Absatzes 2 Nummer 1 Buchstabe a und b übersendet die registerführende Stelle dem Nutzer eine Verifizierungsnummer an die im Nachweisdokument angegebene Anschrift, soweit kein Personalausweis vorhanden ist, auch an die nach § 2 Absatz 4 Nummer 1 Buchstabe c angegebene Anschrift. Die Verifizierungsnummer berechtigt nur den Antragsteller und darf nicht an Dritte weitergegeben werden.</w:t>
      </w:r>
    </w:p>
    <w:p>
      <w:r>
        <w:t xml:space="preserve">(4) Die registerführende Stelle kann auch andere Nachweisverfahren zulassen, wenn diese Nachweisverfahren nach dem Stand der Technik bei vergleichbarem Aufwand einen gleichwertigen oder höheren Sicherheitsstandard wie die in Absatz 2 Nummer 1 Buchstabe c genannten Verfahren gewährleisten. Für die Videoidentifizierung gemäß den jeweils aktuellen Vorgaben der Bundesanstalt für Finanzdienstleistungsaufsicht gelten die Voraussetzungen des Satz 1 als erfüllt.</w:t>
      </w:r>
    </w:p>
    <w:p>
      <w:r>
        <w:t xml:space="preserve">(5) Die nach Absatz 2 oder im Rahmen der Nutzung der Verfahren nach Absatz 4 übermittelten Daten sind zwei Jahre nach Übermittlung an die registerführende Stelle unverzüglich von der registerführenden Stelle zu löschen.</w:t>
      </w:r>
    </w:p>
    <w:p>
      <w:r>
        <w:rPr>
          <w:color w:val="555555"/>
          <w:sz w:val="17"/>
        </w:rPr>
        <w:t xml:space="preserve">Zitiervorschlag: § 3 TrEinV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https://recht.nulegal.eu/gesetze/treinv--2017/3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