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TrEinV — Registrierung im Transparenzregister und Registrierungsdaten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27.01.2022 bis 23.03.2023. Dies ist nicht die aktuelle Fassung.</w:t>
      </w:r>
    </w:p>
    <w:p>
      <w:r>
        <w:t xml:space="preserve">(1) Die Registrierung für die Einsichtnahme in das Transparenzregister ist ausschließlich über die Internetseite des Transparenzregisters www.transparenzregister.de möglich.</w:t>
      </w:r>
    </w:p>
    <w:p>
      <w:r>
        <w:t xml:space="preserve">(2) Nutzer im Sinne dieser Verordnung sind die Einsichtsberechtigten nach § 23 Absatz 1 des Geldwäschegesetzes.</w:t>
      </w:r>
    </w:p>
    <w:p>
      <w:r>
        <w:t xml:space="preserve">(3) Um sich registrieren zu lassen, gibt der Nutzer oder eine Person im Auftrag des Nutzers auf der Internetseite des Transparenzregisters eine elektronische Kennung in Form einer gültigen E-Mail-Adresse (Nutzerkennung) an und vergibt ein Passwort. Die registerführende Stelle übermittelt an die angegebene E-Mail-Adresse eine Nachricht über die Eröffnung und eine Möglichkeit zur elektronischen Freischaltung des Nutzerkontos.</w:t>
      </w:r>
    </w:p>
    <w:p>
      <w:r>
        <w:t xml:space="preserve">(4) Wenn das Nutzerkonto freigeschaltet ist, hat der Nutzer oder eine Person im Auftrag des Nutzers der registerführenden Stelle mindestens die folgenden Registrierungsdaten zu übermitteln:</w:t>
      </w:r>
    </w:p>
    <w:p>
      <w:pPr>
        <w:ind w:left="420"/>
      </w:pPr>
      <w:r>
        <w:t xml:space="preserve">1. für den Fall, dass der Nutzer eine natürliche Person ist</w:t>
      </w:r>
    </w:p>
    <w:p>
      <w:pPr>
        <w:ind w:left="780"/>
      </w:pPr>
      <w:r>
        <w:t xml:space="preserve">a) den Vor- und Nachnamen,</w:t>
      </w:r>
    </w:p>
    <w:p>
      <w:pPr>
        <w:ind w:left="780"/>
      </w:pPr>
      <w:r>
        <w:t xml:space="preserve">b) die E-Mail-Adresse und die Telefonnummer sowie</w:t>
      </w:r>
    </w:p>
    <w:p>
      <w:pPr>
        <w:ind w:left="780"/>
      </w:pPr>
      <w:r>
        <w:t xml:space="preserve">c) die Anschrift und, falls abweichend, die Rechnungsanschrift sowie</w:t>
      </w:r>
    </w:p>
    <w:p>
      <w:pPr>
        <w:ind w:left="420"/>
      </w:pPr>
      <w:r>
        <w:t xml:space="preserve">2. für den Fall, dass der Nutzer keine natürliche Person ist,</w:t>
      </w:r>
    </w:p>
    <w:p>
      <w:pPr>
        <w:ind w:left="780"/>
      </w:pPr>
      <w:r>
        <w:t xml:space="preserve">a) die Firma oder den Namen der nicht natürlichen Person,</w:t>
      </w:r>
    </w:p>
    <w:p>
      <w:pPr>
        <w:ind w:left="780"/>
      </w:pPr>
      <w:r>
        <w:t xml:space="preserve">b) die Anschrift des Sitzes der nicht natürlichen Person und, falls abweichend, die Rechnungsanschrift,</w:t>
      </w:r>
    </w:p>
    <w:p>
      <w:pPr>
        <w:ind w:left="780"/>
      </w:pPr>
      <w:r>
        <w:t xml:space="preserve">c) den Vor- und Nachnamen der mit der Registrierung beauftragten natürlichen Person sowie</w:t>
      </w:r>
    </w:p>
    <w:p>
      <w:pPr>
        <w:ind w:left="780"/>
      </w:pPr>
      <w:r>
        <w:t xml:space="preserve">d) die E-Mail-Adresse und die Telefonnummer der mit der Registrierung beauftragten natürlichen Person.</w:t>
      </w:r>
    </w:p>
    <w:p>
      <w:r>
        <w:t xml:space="preserve">(5) Die registerführende Stelle ist verpflichtet, demjenigen, der die Registrierung vorgenommen hat, auf der Internetseite des Transparenzregisters die erfolgreiche Übermittlung der Registrierungsdaten anzuzeigen.</w:t>
      </w:r>
    </w:p>
    <w:p>
      <w:r>
        <w:t xml:space="preserve">(6) Für die Übermittlung der Registrierungsdaten stellt die registerführende Stelle auf der Internetseite des Transparenzregisters elektronische Formulare zur Verfügung. Diese Formulare sind bei der Übermittlung zu verwenden.</w:t>
      </w:r>
    </w:p>
    <w:p>
      <w:r>
        <w:t xml:space="preserve">(7) Zur Nutzung der automatischen Einsichtnahme nach § 23 Absatz 3 des Geldwäschegesetzes ist eine erweiterte Registrierung notwendig. Im Rahmen dieser Registrierung muss der Nutzer nach den Vorgaben der registerführenden Stelle die Voraussetzungen der Nutzung der automatischen Einsichtnahme belegen.</w:t>
      </w:r>
    </w:p>
    <w:p>
      <w:r>
        <w:rPr>
          <w:color w:val="555555"/>
          <w:sz w:val="17"/>
        </w:rPr>
        <w:t xml:space="preserve">Zitiervorschlag: § 2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