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TrEinV — Inkrafttreten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(1) Diese Verordnung tritt vorbehaltlich des Absatzes 2 am Tag nach der Verkündung in Kraft.</w:t>
      </w:r>
    </w:p>
    <w:p>
      <w:r>
        <w:t xml:space="preserve">(2) § 3 Absatz 2 Nummer 1 Buchstabe c und Absatz 3 tritt am 30. Juni 2020 in Kraft.</w:t>
      </w:r>
    </w:p>
    <w:p>
      <w:r>
        <w:rPr>
          <w:color w:val="555555"/>
          <w:sz w:val="17"/>
        </w:rPr>
        <w:t xml:space="preserve">Zitiervorschlag: § 15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