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TrEinV — Protokollierung der Einsichtnahme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Historische Fassung: Stand 10.06.2019 bis 23.03.2023. Dies ist nicht die aktuelle Fassung.</w:t>
      </w:r>
    </w:p>
    <w:p>
      <w:r>
        <w:t xml:space="preserve">(1) Die registerführende Stelle ist verpflichtet, zu protokollieren, welcher Nutzer wann in welche Daten des Transparenzregisters Einsicht genommen hat, damit missbräuchliche Zugriffe auf das Transparenzregister erkannt, unterbunden und verfolgt werden können.</w:t>
      </w:r>
    </w:p>
    <w:p>
      <w:r>
        <w:t xml:space="preserve">(2) Nimmt ein Nutzer Einsicht in das Transparenzregister, so protokolliert die registerführende Stelle folgende Daten:</w:t>
      </w:r>
    </w:p>
    <w:p>
      <w:pPr>
        <w:ind w:left="420"/>
      </w:pPr>
      <w:r>
        <w:t xml:space="preserve">1. die Nutzerkennung sowie</w:t>
      </w:r>
    </w:p>
    <w:p>
      <w:pPr>
        <w:ind w:left="420"/>
      </w:pPr>
      <w:r>
        <w:t xml:space="preserve">2. den Abruf der im oder über das Transparenzregister zugänglichen Informationen zu einer Vereinigung nach § 20 Absatz 1 des Geldwäschegesetzes oder zu einer Rechtsgestaltung nach § 21 Absatz 1 und 2 des Geldwäschegesetzes mit Datum und Uhrzeit.</w:t>
      </w:r>
    </w:p>
    <w:p>
      <w:r>
        <w:t xml:space="preserve">(3) Die protokollierten Daten sind zwei Jahre nach dem Abruf der im oder über das Transparenzregister zugänglichen Informationen unverzüglich von der registerführenden Stelle zu löschen. Andere gesetzliche Bestimmungen über Aufzeichnungs- und Aufbewahrungspflichten bleiben unberührt.</w:t>
      </w:r>
    </w:p>
    <w:p>
      <w:r>
        <w:rPr>
          <w:color w:val="555555"/>
          <w:sz w:val="17"/>
        </w:rPr>
        <w:t xml:space="preserve">Zitiervorschlag: § 10 TrEinV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https://recht.nulegal.eu/gesetze/treinv--2017/10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