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TPDesign/TSysPlAusbV — Abschlussprüfung in der Fachrichtung Versorgungs- und Ausrüstungstechnik</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Fertigkeiten, Kenntnisse und Fähigkeiten, die bereits Gegenstand von Teil 1 der Abschlussprüfung waren, in Teil 2 der Abschlussprüfung nur insoweit einbezogen werden, als es für die Feststellung der Berufsbefähigung erforderlich ist.</w:t>
      </w:r>
    </w:p>
    <w:p>
      <w:r>
        <w:t xml:space="preserve">(2) Bei der Ermittlung des Gesamtergebnisses wird Teil 1 der Abschlussprüfung mit 30 Prozent und Teil 2 der Abschlussprüfung mit 70 Prozent gewichtet.</w:t>
      </w:r>
    </w:p>
    <w:p>
      <w:r>
        <w:rPr>
          <w:color w:val="555555"/>
          <w:sz w:val="17"/>
        </w:rPr>
        <w:t xml:space="preserve">Zitiervorschlag: § 16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