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TÄHAV — Geräte und Rechtsvorschriften</w:t>
      </w:r>
    </w:p>
    <w:p>
      <w:r>
        <w:rPr>
          <w:color w:val="555555"/>
          <w:sz w:val="18"/>
        </w:rPr>
        <w:t xml:space="preserve">Verordnung über tierärztliche Hausapotheken</w:t>
      </w:r>
    </w:p>
    <w:p>
      <w:r>
        <w:rPr>
          <w:color w:val="555555"/>
          <w:sz w:val="18"/>
        </w:rPr>
        <w:t xml:space="preserve">Historische Fassung: Stand 10.06.2019 bis 01.01.2025. Dies ist nicht die aktuelle Fassung.</w:t>
      </w:r>
    </w:p>
    <w:p>
      <w:r>
        <w:t xml:space="preserve">(1) In den Betriebsräumen müssen die Geräte vorhanden sein, die für den ordnungsgemäßen Betrieb der betreffenden tierärztlichen Hausapotheke benötigt werden. Die Geräte müssen sich in einwandfreiem Zustand befinden.</w:t>
      </w:r>
    </w:p>
    <w:p>
      <w:r>
        <w:t xml:space="preserve">(2) In den Betriebsräumen müssen die einschlägigen Rechtsvorschriften über den Verkehr mit Arzneimitteln, Betäubungsmitteln, die Arzneimittelpreisverordnung und, soweit entsprechend Art und Umfang der Tätigkeit erforderlich, die amtliche Ausgabe des Arzneibuches in der jeweils aktuellen Fassung verfügbar sein.</w:t>
      </w:r>
    </w:p>
    <w:p>
      <w:r>
        <w:rPr>
          <w:color w:val="555555"/>
          <w:sz w:val="17"/>
        </w:rPr>
        <w:t xml:space="preserve">Zitiervorschlag: § 4 TÄHAV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https://recht.nulegal.eu/gesetze/t_hav--1975/4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