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12a TÄHAV — Informationspflichten</w:t>
      </w:r>
    </w:p>
    <w:p>
      <w:r>
        <w:rPr>
          <w:color w:val="555555"/>
          <w:sz w:val="18"/>
        </w:rPr>
        <w:t xml:space="preserve">Verordnung über tierärztliche Hausapotheken</w:t>
      </w:r>
    </w:p>
    <w:p>
      <w:r>
        <w:rPr>
          <w:color w:val="555555"/>
          <w:sz w:val="18"/>
        </w:rPr>
        <w:t xml:space="preserve">Historische Fassung: Stand 10.06.2019 bis 01.01.2025. Dies ist nicht die aktuelle Fassung.</w:t>
      </w:r>
    </w:p>
    <w:p>
      <w:r>
        <w:t xml:space="preserve">(1) Wird ein Arzneimittel vom Tierarzt bei Tieren, die der Gewinnung von Lebensmitteln dienen, angewendet oder zur Anwendung bei diesen Tieren von ihm selbst oder auf seine ausdrückliche Weisung abgegeben, so hat der Tierarzt den Tierhalter unverzüglich auf die Einhaltung der Wartezeit hinzuweisen oder hinweisen zu lassen. Im Falle der Abgabe hat sich der Tierarzt ferner von der Möglichkeit der ordnungsgemäßen Arzneimittelanwendung durch den Tierhalter zu vergewissern. § 13 Abs. 1 bleibt unberührt.</w:t>
      </w:r>
    </w:p>
    <w:p>
      <w:r>
        <w:t xml:space="preserve">(2) Im Rahmen des Hinweises nach Absatz 1 hat der Tierarzt mindestens die Wartezeit, die auf einem Fertigarzneimittel für die zu behandelnde Tierart angegeben ist, zugrunde zu legen. Bei Abweichung von den Zulassungsbedingungen ist die Wartezeit so zu bemessen, dass die in Tabelle 1 des Anhangs der Verordnung (EU) Nr. 37/2010 der Kommission vom 22. Dezember 2009 über pharmakologisch wirksame Stoffe und ihre Einstufung hinsichtlich der Rückstandshöchstmengen in Lebensmitteln tierischen Ursprungs (ABl. L 15 vom 20.1.2010, S. 1; L 293 vom 11.11.2010, S. 72) in der jeweils geltenden Fassung festgesetzten Höchstmengen nicht überschritten werden. Sofern auf einem Arzneimittel keine Wartezeit für die betreffende Tierart angegeben ist, darf, auch im Falle des Satzes 2, die im Rahmen des Hinweises nach Absatz 1 festzulegende Wartezeit folgende Zeiträume nicht unterschreiten:</w:t>
      </w:r>
    </w:p>
    <w:p>
      <w:pPr>
        <w:ind w:left="420"/>
      </w:pPr>
      <w:r>
        <w:t xml:space="preserve">1. bei Eiern sieben Tage,</w:t>
      </w:r>
    </w:p>
    <w:p>
      <w:pPr>
        <w:ind w:left="420"/>
      </w:pPr>
      <w:r>
        <w:t xml:space="preserve">2. bei Milch sieben Tage,</w:t>
      </w:r>
    </w:p>
    <w:p>
      <w:pPr>
        <w:ind w:left="420"/>
      </w:pPr>
      <w:r>
        <w:t xml:space="preserve">3. bei essbarem Gewebe von Geflügel und Säugetieren 28 Tage,</w:t>
      </w:r>
    </w:p>
    <w:p>
      <w:pPr>
        <w:ind w:left="420"/>
      </w:pPr>
      <w:r>
        <w:t xml:space="preserve">4. bei essbarem Gewebe von Fischen die Zahl (Anzahl der Tage), die sich aus der Division von 500 durch die mittlere Wassertemperatur in Grad Celsius ergibt,</w:t>
      </w:r>
    </w:p>
    <w:p>
      <w:pPr>
        <w:ind w:left="420"/>
      </w:pPr>
      <w:r>
        <w:t xml:space="preserve">5. bei essbarem Gewebe von Einhufern, die der Gewinnung von Lebensmitteln dienen und bei denen Arzneimittel gemäß § 56a Abs. 2a des Arzneimittelgesetzes angewendet wurden, sechs Monate.</w:t>
      </w:r>
    </w:p>
    <w:p>
      <w:r>
        <w:t xml:space="preserve">Die Wartezeit für homöopathische Arzneimittel, die ausschließlich Wirkstoffe enthalten, die in der Tabelle 1 des Anhangs der Verordnung (EU) Nr. 37/2010 in der jeweils geltenden Fassung als Stoffe aufgeführt sind, für die eine Festlegung von Höchstmengen nicht erforderlich ist, darf auf null Tage festgesetzt werden. Satz 3 gilt nicht für Arzneimittel, die für den Verkehr außerhalb der Apotheken freigegeben sind.</w:t>
      </w:r>
    </w:p>
    <w:p>
      <w:r>
        <w:rPr>
          <w:color w:val="555555"/>
          <w:sz w:val="17"/>
        </w:rPr>
        <w:t xml:space="preserve">Zitiervorschlag: § 12a TÄHAV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https://recht.nulegal.eu/gesetze/t_hav--1975/12a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12a TÄHAV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