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SVG — Anrechnung von Geldleistungen</w:t>
      </w:r>
    </w:p>
    <w:p>
      <w:r>
        <w:rPr>
          <w:color w:val="555555"/>
          <w:sz w:val="18"/>
        </w:rPr>
        <w:t xml:space="preserve">Soldatenversorgungsgesetz</w:t>
      </w:r>
    </w:p>
    <w:p>
      <w:r>
        <w:rPr>
          <w:color w:val="555555"/>
          <w:sz w:val="18"/>
        </w:rPr>
        <w:t xml:space="preserve">Historische Fassung: Stand 16.08.2019 bis 01.01.2025. Dies ist nicht die aktuelle Fassung.</w:t>
      </w:r>
    </w:p>
    <w:p>
      <w:r>
        <w:t xml:space="preserve">Auf laufende und einmalige Geldleistungen, die nach diesem Gesetz wegen eines Körper-, Sach- oder Vermögensschadens gewährt werden, sind Geldleistungen anzurechnen, die wegen desselben Schadens von anderer Seite erbracht werden. Hierzu gehören insbesondere Geldleistungen, die von Drittstaaten oder von zwischenstaatlichen oder überstaatlichen Einrichtungen gewährt oder veranlasst werden. Nicht anzurechnen sind Leistungen privater Schadensversicherungen, die auf Beiträgen der Soldaten oder anderen Angehörigen des Geschäftsbereichs des Bundesministeriums der Verteidigung beruhen; dies gilt nicht in den Fällen des § 86.</w:t>
      </w:r>
    </w:p>
    <w:p>
      <w:r>
        <w:rPr>
          <w:color w:val="555555"/>
          <w:sz w:val="17"/>
        </w:rPr>
        <w:t xml:space="preserve">Zitiervorschlag: § 90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