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63e SVG — Einmalige Entschädigung</w:t>
      </w:r>
    </w:p>
    <w:p>
      <w:r>
        <w:rPr>
          <w:color w:val="555555"/>
          <w:sz w:val="18"/>
        </w:rPr>
        <w:t xml:space="preserve">Soldatenversorgungsgesetz</w:t>
      </w:r>
    </w:p>
    <w:p>
      <w:r>
        <w:rPr>
          <w:color w:val="555555"/>
          <w:sz w:val="18"/>
        </w:rPr>
        <w:t xml:space="preserve">Historische Fassung: Stand 16.08.2019 bis 01.01.2025. Dies ist nicht die aktuelle Fassung.</w:t>
      </w:r>
    </w:p>
    <w:p>
      <w:r>
        <w:t xml:space="preserve">Erleidet ein Soldat einen Einsatzunfall im Sinne von § 63c Absatz 2 mit den in § 63a Absatz 1 genannten Folgen, gilt § 63a entsprechend.</w:t>
      </w:r>
    </w:p>
    <w:p>
      <w:r>
        <w:rPr>
          <w:color w:val="555555"/>
          <w:sz w:val="17"/>
        </w:rPr>
        <w:t xml:space="preserve">Zitiervorschlag: § 63e 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https://recht.nulegal.eu/gesetze/svg--1957/63e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