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SVG — Rückforderung</w:t>
      </w:r>
    </w:p>
    <w:p>
      <w:r>
        <w:rPr>
          <w:color w:val="555555"/>
          <w:sz w:val="18"/>
        </w:rPr>
        <w:t xml:space="preserve">Soldatenversorgungsgesetz</w:t>
      </w:r>
    </w:p>
    <w:p>
      <w:r>
        <w:rPr>
          <w:color w:val="555555"/>
          <w:sz w:val="18"/>
        </w:rPr>
        <w:t xml:space="preserve">Historische Fassung: Stand 16.08.2019 bis 01.01.2025. Dies ist nicht die aktuelle Fassung.</w:t>
      </w:r>
    </w:p>
    <w:p>
      <w:r>
        <w:t xml:space="preserve">(1) Wird ein Versorgungsberechtigter durch eine gesetzliche Änderung seiner Versorgungsbezüge mit rückwirkender Kraft schlechter gestellt, so sind die Unterschiedsbeträge nicht zu erstatten.</w:t>
      </w:r>
    </w:p>
    <w:p>
      <w:r>
        <w:t xml:space="preserve">(2) Im Übrigen regelt sich die Rückforderung zuviel gezahlter Versorgungsbezüge nach den Vorschriften des Bürgerlichen Gesetzbuchs über die Herausgabe einer ungerechtfertigten Bereicherung, soweit gesetzlich nichts anderes bestimmt ist. Der Kenntnis des Mangels des rechtlichen Grundes der Zahlung steht es gleich, wenn der Mangel so offensichtlich war, dass der Empfänger ihn hätte erkennen müssen. Von der Rückforderung kann mit Zustimmung des Bundesministeriums der Verteidigung aus Billigkeit ganz oder zum Teil abgesehen werden.</w:t>
      </w:r>
    </w:p>
    <w:p>
      <w:r>
        <w:t xml:space="preserve">(3) Die Rückforderung von Beträgen von weniger als 5 Euro unterbleibt. Treffen mehrere Einzelbeträge zusammen, gilt die Grenze für die Gesamtrückforderung.</w:t>
      </w:r>
    </w:p>
    <w:p>
      <w:r>
        <w:t xml:space="preserve">(4) § 118 Absatz 3 bis 5 des Sechsten Buches Sozialgesetzbuch gilt entsprechend.</w:t>
      </w:r>
    </w:p>
    <w:p>
      <w:r>
        <w:rPr>
          <w:color w:val="555555"/>
          <w:sz w:val="17"/>
        </w:rPr>
        <w:t xml:space="preserve">Zitiervorschlag: § 49 SVG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https://recht.nulegal.eu/gesetze/svg--1957/49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