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10a SVG — Ermächtigung zum Erlass von Rechtsverordnungen</w:t>
      </w:r>
    </w:p>
    <w:p>
      <w:r>
        <w:rPr>
          <w:color w:val="555555"/>
          <w:sz w:val="18"/>
        </w:rPr>
        <w:t xml:space="preserve">Soldatenversorgungsgesetz</w:t>
      </w:r>
    </w:p>
    <w:p>
      <w:r>
        <w:rPr>
          <w:color w:val="555555"/>
          <w:sz w:val="18"/>
        </w:rPr>
        <w:t xml:space="preserve">Historische Fassung: Stand 10.01.2020 bis 01.01.2025. Dies ist nicht die aktuelle Fassung.</w:t>
      </w:r>
    </w:p>
    <w:p>
      <w:r>
        <w:t xml:space="preserve">(1) Das Nähere zur Durchführung der Förderung nach den §§ 3a bis 7, 39 und 40 bestimmt die Bundesregierung durch Rechtsverordnung mit Zustimmung des Bundesrates.</w:t>
      </w:r>
    </w:p>
    <w:p>
      <w:r>
        <w:t xml:space="preserve">(2) Das Bundesministerium des Innern, für Bau und Heimat regelt im Einvernehmen mit dem Bundesministerium der Verteidigung durch Rechtsverordnung mit Zustimmung des Bundesrates das Nähere über die Vormerkstelle des Bundes sowie über die Aufgaben der Vormerkstellen der Länder, über die Bewerbung, Erfassung, Zuweisung und Einstellung der Inhaber eines Eingliederungsscheins, eines Zulassungsscheins oder einer Bestätigung nach § 10 Absatz 4 Satz 4 sowie die Erfassung und Bekanntgabe der Stellen.</w:t>
      </w:r>
    </w:p>
    <w:p>
      <w:r>
        <w:t xml:space="preserve">(3) Das Nähere über die Lehrgänge an den Bundeswehrfachschulen und die hierbei abzulegenden Prüfungen bestimmt die Bundesregierung durch Rechtsverordnung mit Zustimmung des Bundesrates.</w:t>
      </w:r>
    </w:p>
    <w:p>
      <w:r>
        <w:rPr>
          <w:color w:val="555555"/>
          <w:sz w:val="17"/>
        </w:rPr>
        <w:t xml:space="preserve">Zitiervorschlag: § 10a 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https://recht.nulegal.eu/gesetze/svg--1957/10a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