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StV/WasAusbV — Berichtsheft</w:t>
      </w:r>
    </w:p>
    <w:p>
      <w:r>
        <w:rPr>
          <w:color w:val="555555"/>
          <w:sz w:val="18"/>
        </w:rPr>
        <w:t xml:space="preserve">Verordnung über die Berufsausbildung zur Fachkraft für Straßen- und Verkehrstechnik und zur Fachkraft für Wasserwirtschaft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Auszubildende hat ein Berichtsheft in Form eines Ausbildungsnachweises zu führen. Ihm ist Gelegenheit zu geben, das Berichtsheft während der Ausbildungszeit zu führen. Der Ausbildende hat das Berichtsheft regelmäßig durchzusehen.</w:t>
      </w:r>
    </w:p>
    <w:p>
      <w:r>
        <w:rPr>
          <w:color w:val="555555"/>
          <w:sz w:val="17"/>
        </w:rPr>
        <w:t xml:space="preserve">Zitiervorschlag: § 7 StV/WasAusbV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https://recht.nulegal.eu/gesetze/stv_wasausbv/7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