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Naturparkverordnung Erzgebirge/Vogtland (Sachsen)</w:t>
      </w:r>
    </w:p>
    <w:p>
      <w:r>
        <w:rPr>
          <w:color w:val="555555"/>
          <w:sz w:val="18"/>
        </w:rPr>
        <w:t xml:space="preserve">Naturparkverordnung Erzgebirge/Vogtland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20 und 50 Abs. 1 Satz 1 Nr. 1 des Sächsischen Gesetzes über Naturschutz und Landschaftspflege (Sächsisches Naturschutzgesetz – SächsNatSchG)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Naturparkverordnung Erzgebirge/Vogtland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https://recht.nulegal.eu/gesetze/sn-4845/eingangsformel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