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Naturparkverordnung Erzgebirge/Vogtland (Sachsen) — Verbote</w:t>
      </w:r>
    </w:p>
    <w:p>
      <w:r>
        <w:rPr>
          <w:color w:val="555555"/>
          <w:sz w:val="18"/>
        </w:rPr>
        <w:t xml:space="preserve">Naturparkverordnung Erzgebirge/Vogtland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Schutzzonen I und II sind alle Handlungen verboten, die erheblich oder nachhaltig den Charakter des Gebietes nachteilig verändern oder dem besonderen Schutzzweck zuwiderlaufen, insbesondere wenn dadurch</w:t>
      </w:r>
    </w:p>
    <w:p>
      <w:r>
        <w:t xml:space="preserve">1. der Naturhaushalt geschädigt,</w:t>
      </w:r>
    </w:p>
    <w:p>
      <w:r>
        <w:t xml:space="preserve">2. die Nutzungsfähigkeit der Naturgüter gestört,</w:t>
      </w:r>
    </w:p>
    <w:p>
      <w:r>
        <w:t xml:space="preserve">3. das Landschaftsbild nachteilig verändert oder die natürliche Eigenart der Landschaft auf andere Weise beeinträchtigt oder</w:t>
      </w:r>
    </w:p>
    <w:p>
      <w:r>
        <w:t xml:space="preserve">4. der Naturgenuss oder der besondere Erholungswert der Landschaft beeinträchtigt</w:t>
      </w:r>
    </w:p>
    <w:p>
      <w:r>
        <w:t xml:space="preserve">wird.</w:t>
      </w:r>
    </w:p>
    <w:p>
      <w:r>
        <w:rPr>
          <w:color w:val="555555"/>
          <w:sz w:val="17"/>
        </w:rPr>
        <w:t xml:space="preserve">Zitiervorschlag: § 8 Naturparkverordnung Erzgebirge/Vogtland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https://recht.nulegal.eu/gesetze/sn-4845/8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