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Naturparkverordnung Erzgebirge/Vogtland (Sachsen) — Besondere Vorschriften</w:t>
      </w:r>
    </w:p>
    <w:p>
      <w:r>
        <w:rPr>
          <w:color w:val="555555"/>
          <w:sz w:val="18"/>
        </w:rPr>
        <w:t xml:space="preserve">Naturparkverordnung Erzgebirge/Vogtland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Besondere naturschutzrechtliche Vorschriften, insbesondere über geschützte Biotope, Naturschutzgebiete, Landschaftsschutzgebiete, Naturdenkmale und geschützte Landschaftsbestandteile, bleiben unberührt.</w:t>
      </w:r>
    </w:p>
    <w:p>
      <w:r>
        <w:rPr>
          <w:color w:val="555555"/>
          <w:sz w:val="17"/>
        </w:rPr>
        <w:t xml:space="preserve">Zitiervorschlag: § 7 Naturparkverordnung Erzgebirge/Vogtland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https://recht.nulegal.eu/gesetze/sn-4845/7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