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Naturparkverordnung Erzgebirge/Vogtland (Sachsen) — In-Kraft-Treten</w:t>
      </w:r>
    </w:p>
    <w:p>
      <w:r>
        <w:rPr>
          <w:color w:val="555555"/>
          <w:sz w:val="18"/>
        </w:rPr>
        <w:t xml:space="preserve">Naturparkverordnung Erzgebirge/Vogtland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6 in Kraft.</w:t>
      </w:r>
    </w:p>
    <w:p>
      <w:r>
        <w:t xml:space="preserve">Dresden, den 9. Mai 1996</w:t>
      </w:r>
    </w:p>
    <w:p>
      <w:r>
        <w:t xml:space="preserve">Der Staatsminister</w:t>
      </w:r>
    </w:p>
    <w:p>
      <w:r>
        <w:t xml:space="preserve">für Umwelt und Landesentwicklung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§ 14 Naturparkverordnung Erzgebirge/Vogtland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https://recht.nulegal.eu/gesetze/sn-4845/14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