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Naturparkverordnung Erzgebirge/Vogtland (Sachsen) — Erklärung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Teile der höheren Lagen des Ost-, Mittel- und Westerzgebirges sowie der mittelhohen Lagen des Vogtlandes werden zum Naturpark erklärt.</w:t>
      </w:r>
    </w:p>
    <w:p>
      <w:r>
        <w:t xml:space="preserve">(2) Der Naturpark erhält die Bezeichnung „Naturpark Erzgebirge/Vogtland“.</w:t>
      </w:r>
    </w:p>
    <w:p>
      <w:r>
        <w:rPr>
          <w:color w:val="555555"/>
          <w:sz w:val="17"/>
        </w:rPr>
        <w:t xml:space="preserve">Zitiervorschlag: § 1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