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AGFlurbG (Sachsen)</w:t>
      </w:r>
    </w:p>
    <w:p>
      <w:r>
        <w:rPr>
          <w:color w:val="555555"/>
          <w:sz w:val="18"/>
        </w:rPr>
        <w:t xml:space="preserve">Gesetz zur Ausführung des Flurbereinigungsgesetzes und zur Bestimmung von Zuständigkeiten nach dem Landwirtschaftsanpassungsgesetz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15. Juli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t xml:space="preserve">Der Staatsminister</w:t>
      </w:r>
    </w:p>
    <w:p>
      <w:r>
        <w:t xml:space="preserve">für Landwirtschaft, Ernährung und Forsten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rPr>
          <w:color w:val="555555"/>
          <w:sz w:val="17"/>
        </w:rPr>
        <w:t xml:space="preserve">Zitiervorschlag: § 21 AGFlurbG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https://recht.nulegal.eu/gesetze/sn-4193--1994/21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