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ÖPNVG (Sachsen) — Investitionsprogramm</w:t>
      </w:r>
    </w:p>
    <w:p>
      <w:r>
        <w:rPr>
          <w:color w:val="555555"/>
          <w:sz w:val="18"/>
        </w:rPr>
        <w:t xml:space="preserve">Gesetz über den öffentlichen Personennahverkehr im Freistaat Sachsen</w:t>
      </w:r>
    </w:p>
    <w:p>
      <w:r>
        <w:rPr>
          <w:color w:val="555555"/>
          <w:sz w:val="18"/>
        </w:rPr>
        <w:t xml:space="preserve">Landesrecht Sachsen</w:t>
      </w:r>
    </w:p>
    <w:p>
      <w:r>
        <w:rPr>
          <w:color w:val="555555"/>
          <w:sz w:val="18"/>
        </w:rPr>
        <w:t xml:space="preserve">Stand: 27.08.2026 (konsolidierte Textfassung, kein amtliches Inkrafttretensdatum)</w:t>
      </w:r>
    </w:p>
    <w:p>
      <w:r>
        <w:t xml:space="preserve">Das Staatsministerium für Wirtschaft, Arbeit und Verkehr stellt auf der Grundlage des Staatshaushaltsplanes und der Finanzplanung für den mittelfristigen Planungszeitraum jährlich ein fortzuschreibendes Landesinvestitionsprogramm für Maßnahmen des öffentlichen Personennahverkehrs auf. Bei der Programmaufstellung sind die Ziele des Gesetzes über die Finanzhilfen des Bundes zur Verbesserung der Verkehrsverhältnisse der Gemeinden ( Gemeindeverkehrsfinanzierungsgesetz – GVFG ) in der Fassung der Bekanntmachung vom 28. Januar 1988 (BGBl. I S. 100), zuletzt geändert durch Artikel 3 des Gesetzes vom 5. April 2011 (BGBl. I S. 554, 555), in der jeweils geltenden Fassung, sowie die Verkehrsentwicklung zu berücksichtigen; die Ziele der Raumordnung und Landesplanung sind zu beachten und die Grundsätze der Raumordnung und Landesplanung zu berücksichtigen. Der Beauftrage der Sächsischen Staatsregierung für die Belange von Menschen mit Behinderungen ist rechtzeitig vorher anzuhören.</w:t>
      </w:r>
    </w:p>
    <w:p>
      <w:r>
        <w:rPr>
          <w:color w:val="555555"/>
          <w:sz w:val="17"/>
        </w:rPr>
        <w:t xml:space="preserve">Zitiervorschlag: § 6 ÖPNVG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https://recht.nulegal.eu/gesetze/sn-3863--1995/6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ÖPNVG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