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ÖPNVG (Sachsen) — Zusammenarbeit der kommunalen Aufgabenträger</w:t>
      </w:r>
    </w:p>
    <w:p>
      <w:r>
        <w:rPr>
          <w:color w:val="555555"/>
          <w:sz w:val="18"/>
        </w:rPr>
        <w:t xml:space="preserve">Gesetz über den öffentlichen Personennahverkehr im Freistaat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Die Landkreise und Kreisfreien Städte und Gemeinden, denen gemäß § 3 Abs. 1 Satz 3 die Aufgabe übertragen wurde, arbeiten flächendeckend in den Nahverkehrsräumen Vogtland, Chemnitz/Zwickau, Leipzig, Oberelbe und Oberlausitz/Niederschlesien in einer Form nach dem Sächsischen Gesetz über kommunale Zusammenarbeit in der jeweils gültigen Fassung zusammen.</w:t>
      </w:r>
    </w:p>
    <w:p>
      <w:r>
        <w:t xml:space="preserve">(2) Den Zusammenschlüssen nach Absatz 1 ist ab 1. Juni 2002 die Aufgabe des Schienenpersonennahverkehrs zu übertragen.</w:t>
      </w:r>
    </w:p>
    <w:p>
      <w:r>
        <w:rPr>
          <w:color w:val="555555"/>
          <w:sz w:val="17"/>
        </w:rPr>
        <w:t xml:space="preserve">Zitiervorschlag: § 4 ÖPNVG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https://recht.nulegal.eu/gesetze/sn-3863--1995/4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