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ÖPNVG (Sachsen) — Aufgabenbestimmung und Aufgabenträger</w:t>
      </w:r>
    </w:p>
    <w:p>
      <w:r>
        <w:rPr>
          <w:color w:val="555555"/>
          <w:sz w:val="18"/>
        </w:rPr>
        <w:t xml:space="preserve">Gesetz über den öffentlichen Personennahverkehr im Freistaat Sachsen</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Planung, Organisation und Ausgestaltung des öffentlichen Personennahverkehrs ist vorbehaltlich der §§ 4 und 5 eine freiwillige Aufgabe der Landkreise und Kreisfreien Städte. Die Landkreise können durch Rechtsverordnung kreisangehörigen Gemeinden oder deren Zusammenschlüssen auf deren Antrag oder mit deren Zustimmung einzelne Aufgaben des öffentlichen Personennahverkehrs übertragen. Den Großen Kreisstädten, die aufgrund von § 2 Abs. 2 des Gesetzes zur Neugliederung des Gebietes der Landkreise des Freistaates Sachsen (Sächsisches Kreisgebietsneugliederungsgesetz – SächsKrGebNG ) vom 29. Januar 2008 (SächsGVBl. S. 102) die Kreisfreiheit verloren haben, ist auf Antrag die Aufgabe des öffentlichen Personennahverkehrs zu übertragen.</w:t>
      </w:r>
    </w:p>
    <w:p>
      <w:r>
        <w:t xml:space="preserve">(2) Zuständige Behörde für die Vereinbarung und Auferlegung gemeinwirtschaftlicher Verkehrsleistungen im Sinne der Verordnung (EWG) Nr. 1191/69 des Rates vom 26. Juni 1969 (ABl. EG Nr. L 156 S. 1) in der jeweils geltenden Fassung ist der Aufgabenträger oder das Staatsministerium für Wirtschaft und Arbeit, sofern die Aufgabe des Schienenpersonennahverkehrs vom Freistaat Sachsen wahrgenommen wird.</w:t>
      </w:r>
    </w:p>
    <w:p>
      <w:r>
        <w:rPr>
          <w:color w:val="555555"/>
          <w:sz w:val="17"/>
        </w:rPr>
        <w:t xml:space="preserve">Zitiervorschlag: § 3 ÖPNVG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https://recht.nulegal.eu/gesetze/sn-3863--1995/3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