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ÖPNVG (Sachsen) — Zielstellung</w:t>
      </w:r>
    </w:p>
    <w:p>
      <w:r>
        <w:rPr>
          <w:color w:val="555555"/>
          <w:sz w:val="18"/>
        </w:rPr>
        <w:t xml:space="preserve">Gesetz über den öffentlichen Personennahverkehr im Freistaat Sachsen</w:t>
      </w:r>
    </w:p>
    <w:p>
      <w:r>
        <w:rPr>
          <w:color w:val="555555"/>
          <w:sz w:val="18"/>
        </w:rPr>
        <w:t xml:space="preserve">Landesrecht Sachsen</w:t>
      </w:r>
    </w:p>
    <w:p>
      <w:r>
        <w:rPr>
          <w:color w:val="555555"/>
          <w:sz w:val="18"/>
        </w:rPr>
        <w:t xml:space="preserve">Stand: 27.08.2026 (konsolidierte Textfassung, kein amtliches Inkrafttretensdatum)</w:t>
      </w:r>
    </w:p>
    <w:p>
      <w:r>
        <w:t xml:space="preserve">(1) Der öffentliche Personennahverkehr ist eine Aufgabe der Daseinsvorsorge. Dies ist bei der Ausgestaltung der Haushalte der Aufgabenträger nach § 3 Abs. 1 angemessen zu berücksichtigen. Der öffentliche Personennahverkehr soll im Interesse des Umweltschutzes, der Verkehrssicherheit, der Verbesserung der Verkehrsinfrastruktur sowie der Herstellung und Sicherung gleichwertiger Lebensbedingungen im gesamten Freistaat zur Verfügung stehen. Die Bedienung mit öffentlichen Verkehrsmitteln soll auf die Bedürfnisse der Bevölkerung ausgerichtet werden und den Grundsatz der Wirtschaftlichkeit und Sparsamkeit berücksichtigen.</w:t>
      </w:r>
    </w:p>
    <w:p>
      <w:r>
        <w:t xml:space="preserve">(2) Die Aufgabenträger arbeiten bei der Planung, Organisation und Ausgestaltung des öffentlichen Personennahverkehrs zusammen und stimmen sich miteinander ab. Der Freistaat hat dabei im Rahmen seiner Gesamtverantwortung auf einen Interessenausgleich hinzuwirken. Dies gilt auch für den die Staatsgrenze überschreitenden öffentlichen Personennahverkehr.</w:t>
      </w:r>
    </w:p>
    <w:p>
      <w:r>
        <w:t xml:space="preserve">(3) In verdichteten Räumen ist ein nachfrageorientierter Bedienungstakt vorzusehen, um eine angemessene Erschließung mit öffentlichen Verkehrsmitteln sicherzustellen. Dem öffentlichen Personennahverkehr soll in verdichteten Räumen der Vorrang vor dem motorisierten Individualverkehr eingeräumt werden. Die Bedienungsstandards für die verdichteten Räume sollen, soweit dies der Nachfrage entspricht, im Rahmen der finanziellen Leistungsfähigkeit mit abgestuften Bedienungskonzepten auch in den ländlichen Räumen angeboten werden.</w:t>
      </w:r>
    </w:p>
    <w:p>
      <w:r>
        <w:t xml:space="preserve">(4) Schienengebundene Verkehrsleistungen sollen als Grundangebot ausgestaltet und die übrigen Leistungen des öffentlichen Personennahverkehrs darauf ausgerichtet werden.</w:t>
      </w:r>
    </w:p>
    <w:p>
      <w:r>
        <w:t xml:space="preserve">(5) Zur Verbesserung des öffentlichen Personennahverkehrs ist eine integrierte Verkehrsgestaltung durch die Bildung von Zweckverbänden und Verkehrskooperationen auch ländergrenzenüberschreitend anzustreben.</w:t>
      </w:r>
    </w:p>
    <w:p>
      <w:r>
        <w:t xml:space="preserve">(6) Neben den Sicherheitsbedürfnissen der Fahrgäste, insbesondere von Frauen, sind die Belange von Menschen mit Behinderung sowie die Bedürfnisse von Personen, die in ihrer Mobilität beeinträchtigt sind, besonders zu berücksichtigen.</w:t>
      </w:r>
    </w:p>
    <w:p>
      <w:r>
        <w:t xml:space="preserve">(7) Bei der Planung, Ausgestaltung und Finanzierung des öffentlichen Personennahverkehrs sind die Ziele der Raumordnung und der Landesplanung zu beachten und die Grundsätze der Raumordnung und Landesplanung zu berücksichtigen. Bei der Regionalplanung sind die Ziele nach den Absätze 1 bis 6 sowie die Ziele der Nahverkehrsplanung nach § 5 zu beachten. Bei der Bauleitplanung sind die Belange des öffentlichen Personennahverkehrs nach § 1 Abs. 5 Satz 2 Nr. 8 Baugesetzbuch zu berücksichtigen.</w:t>
      </w:r>
    </w:p>
    <w:p>
      <w:r>
        <w:rPr>
          <w:color w:val="555555"/>
          <w:sz w:val="17"/>
        </w:rPr>
        <w:t xml:space="preserve">Zitiervorschlag: § 2 ÖPNVG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https://recht.nulegal.eu/gesetze/sn-3863--1995/2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