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RHG (Sachsen) — Präsident</w:t>
      </w:r>
    </w:p>
    <w:p>
      <w:r>
        <w:rPr>
          <w:color w:val="555555"/>
          <w:sz w:val="18"/>
        </w:rPr>
        <w:t xml:space="preserve">Rechnungshofgesetz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Der Präsident leitet und beaufsichtigt den Geschäftsgang und die Verwaltung des Rechnungshofes. Er vertritt den Rechnungshof nach außen.</w:t>
      </w:r>
    </w:p>
    <w:p>
      <w:r>
        <w:t xml:space="preserve">(2) Der Präsident, der Vizepräsident und die Leiter der Prüfungsabteilungen verteilen im Einvernehmen vor Beginn des Geschäftsjahres für dessen Dauer die Prüfungsgeschäfte auf die Abteilungen und regeln die Vertretung der Mitglieder. Für die Beschlußfassung gilt § 10 Abs. 1.</w:t>
      </w:r>
    </w:p>
    <w:p>
      <w:r>
        <w:t xml:space="preserve">(3) Innerhalb des Geschäftsjahres können die Geschäftsverteilung und die Vertretung nur aus zwingenden Gründen geändert werden.</w:t>
      </w:r>
    </w:p>
    <w:p>
      <w:r>
        <w:rPr>
          <w:color w:val="555555"/>
          <w:sz w:val="17"/>
        </w:rPr>
        <w:t xml:space="preserve">Zitiervorschlag: § 7 RHG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https://recht.nulegal.eu/gesetze/sn-3530--1991/7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RHG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