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RHG (Sachsen) — Berichterstattung</w:t>
      </w:r>
    </w:p>
    <w:p>
      <w:r>
        <w:rPr>
          <w:color w:val="555555"/>
          <w:sz w:val="18"/>
        </w:rPr>
        <w:t xml:space="preserve">Rechnungshofgesetz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(1) Der Rechnungshof berichtet jährlich unmittelbar dem Landtag und unterrichtet gleichzeitig die Staatsregierung.</w:t>
      </w:r>
    </w:p>
    <w:p>
      <w:r>
        <w:t xml:space="preserve">(2) Werden dem Präsidenten durch die Tätigkeit des Rechnungshofes Tatsachen bekannt, deren Berichterstattung im öffentlichen Interesse keinen Aufschub duldet, so soll er über diese Tatsachen umgehend den Landtag unterrichten.</w:t>
      </w:r>
    </w:p>
    <w:p>
      <w:r>
        <w:rPr>
          <w:color w:val="555555"/>
          <w:sz w:val="17"/>
        </w:rPr>
        <w:t xml:space="preserve">Zitiervorschlag: § 2 RHG (Sachsen)</w:t>
      </w:r>
    </w:p>
    <w:p>
      <w:r>
        <w:rPr>
          <w:color w:val="555555"/>
          <w:sz w:val="17"/>
        </w:rPr>
        <w:t xml:space="preserve">Quelle: revosax, abgerufen 27.08.2026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https://recht.nulegal.eu/gesetze/sn-3530--1991/2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