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WBG (Sachsen) — Unabhängigkeit der Weiterbildung</w:t>
      </w:r>
    </w:p>
    <w:p>
      <w:r>
        <w:rPr>
          <w:color w:val="555555"/>
          <w:sz w:val="18"/>
        </w:rPr>
        <w:t xml:space="preserve">Weiterbildungsgesetz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Durch die öffentliche Förderung der Weiterbildung wird das Recht auf Freiheit der Lehre und auf selbständige Lehrplangestaltung sowie auf unabhängige Auswahl der Leiterinnen, Leiter und Mitarbeitenden nicht berührt. § 7 geändert durch Artikel 9 des Gesetzes vom 20. Dezember 2022 (SächsGVBl. S. 705)</w:t>
      </w:r>
    </w:p>
    <w:p>
      <w:r>
        <w:rPr>
          <w:color w:val="555555"/>
          <w:sz w:val="17"/>
        </w:rPr>
        <w:t xml:space="preserve">Zitiervorschlag: § 7 WBG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https://recht.nulegal.eu/gesetze/sn-3385--1998/7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