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Gemeindegebietsreformgesetz Oberes Elbtal/Osterzgebirge (Sachsen) — Freiwillige Gemeindegebietsänderungen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können die in diesem Gesetz bestimmten Gemeindegebietsänderungen gemäß den §§ 8 und 9 SächsGemO vereinbaren. Die Vereinbarung muß zum 1. Januar 1999 wirksam werden. Die gemäß § 8 Abs. 2 SächsGemO erforderliche Genehmigung der Rechtsaufsichtsbehörde muß vor dem 1. Januar 1999 bestandskräftig werden.</w:t>
      </w:r>
    </w:p>
    <w:p>
      <w:r>
        <w:t xml:space="preserve">(2) Die nach Absatz 1 geschlossenen Gebietsänderungsvereinbarungen werden hinsichtlich des gebietlichen Umfanges bestätigt. Im übrigen findet auf die gemäß Absatz 1 vereinbarten Gemeindegebietsänderungen dieses Gesetz mit Ausnahme von § 39 Abs. 3 und § 50 keine Anwendung.</w:t>
      </w:r>
    </w:p>
    <w:p>
      <w:r>
        <w:rPr>
          <w:color w:val="555555"/>
          <w:sz w:val="17"/>
        </w:rPr>
        <w:t xml:space="preserve">Zitiervorschlag: § 49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