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47 Gemeindegebietsreformgesetz Oberes Elbtal/Osterzgebirge (Sachsen) — Personalvertretungen</w:t>
      </w:r>
    </w:p>
    <w:p>
      <w:r>
        <w:rPr>
          <w:color w:val="555555"/>
          <w:sz w:val="18"/>
        </w:rPr>
        <w:t xml:space="preserve">Gemeindegebietsreformgesetz Oberes Elbtal/Osterzgebirge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Sofern nach den Bestimmungen des Personalvertretungsrechts durch die Gemeindegebietsreform eine Neuwahl von Personalräten erforderlich wird, findet § 32 des Sächsischen Personalvertretungsgesetzes ( SächsPersVG ) vom 21. Januar 1993 (SächsGVBl. S. 29), zuletzt geändert durch Artikel 1 des Gesetzes vom 23. April 1998 (SächsGVBl. S. 165), mit der Maßgabe Anwendung, daß in Absatz 1 Satz 3 an die Stelle der Frist von vier Monaten eine Frist von neun Monaten tritt.</w:t>
      </w:r>
    </w:p>
    <w:p>
      <w:r>
        <w:rPr>
          <w:color w:val="555555"/>
          <w:sz w:val="17"/>
        </w:rPr>
        <w:t xml:space="preserve">Zitiervorschlag: § 47 Gemeindegebietsreformgesetz Oberes Elbtal/Osterzgebirge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https://recht.nulegal.eu/gesetze/sn-2423/47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