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Gemeindegebietsreformgesetz Oberes Elbtal/Osterzgebirge (Sachsen) — Stellenbewirtschaftung</w:t>
      </w:r>
    </w:p>
    <w:p>
      <w:r>
        <w:rPr>
          <w:color w:val="555555"/>
          <w:sz w:val="18"/>
        </w:rPr>
        <w:t xml:space="preserve">Gemeindegebietsreformgesetz Oberes Elbtal/Osterzgebirge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einzugliedernden oder an einer Vereinigung beteiligten Gemeinden sowie die in den §§ 10, 14, 20 und 24 genannten Verwaltungsverbände dürfen</w:t>
      </w:r>
    </w:p>
    <w:p>
      <w:r>
        <w:t xml:space="preserve">1. freie oder frei werdende Stellen nicht besetzen, ausgenommen sind Stellen, für deren Besetzung bereits eine schriftliche Einstellungszusage gegeben wurde,</w:t>
      </w:r>
    </w:p>
    <w:p>
      <w:r>
        <w:t xml:space="preserve">2. Höhergruppierungen von Angestellten und Arbeitern nur aufgrund eines entsprechenden rechtlichen Anspruchs durchführen.</w:t>
      </w:r>
    </w:p>
    <w:p>
      <w:r>
        <w:t xml:space="preserve">§ 45 Abs. 1 Satz 2 gilt entsprechend.</w:t>
      </w:r>
    </w:p>
    <w:p>
      <w:r>
        <w:t xml:space="preserve">(2) In den einzugliedernden oder an einer Vereinigung beteiligten Gemeinden findet eine Wahl des Bürgermeisters nicht mehr statt.</w:t>
      </w:r>
    </w:p>
    <w:p>
      <w:r>
        <w:rPr>
          <w:color w:val="555555"/>
          <w:sz w:val="17"/>
        </w:rPr>
        <w:t xml:space="preserve">Zitiervorschlag: § 46 Gemeindegebietsreformgesetz Oberes Elbtal/Osterzgebirge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https://recht.nulegal.eu/gesetze/sn-2423/46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