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36 Gemeindegebietsreformgesetz Oberes Elbtal/Osterzgebirge (Sachsen) — Ortschaftsverfassung</w:t>
      </w:r>
    </w:p>
    <w:p>
      <w:r>
        <w:rPr>
          <w:color w:val="555555"/>
          <w:sz w:val="18"/>
        </w:rPr>
        <w:t xml:space="preserve">Gemeindegebietsreformgesetz Oberes Elbtal/Osterzgebirge</w:t>
      </w:r>
    </w:p>
    <w:p>
      <w:r>
        <w:rPr>
          <w:color w:val="555555"/>
          <w:sz w:val="18"/>
        </w:rPr>
        <w:t xml:space="preserve">Landesrecht Sachsen</w:t>
      </w:r>
    </w:p>
    <w:p>
      <w:r>
        <w:rPr>
          <w:color w:val="555555"/>
          <w:sz w:val="18"/>
        </w:rPr>
        <w:t xml:space="preserve">Stand: 26.08.2026 (konsolidierte Textfassung, kein amtliches Inkrafttretensdatum)</w:t>
      </w:r>
    </w:p>
    <w:p>
      <w:r>
        <w:t xml:space="preserve">(1) Für das Gebiet jeder einzugliedernden Gemeinde ist die Ortschaftsverfassung einzuführen, wenn nicht die jeweilige Gemeinde gegenüber der Gemeinde, in die sie eingegliedert wird, darauf verzichtet. Die Hauptsatzungen der aufnehmenden Gemeinden sind unverzüglich entsprechend zu ändern. Die Sätze 1 und 2 gelten entsprechend für die Gebiete der an einer Vereinigung beteiligten Gemeinden mit den Maßgaben, daß ein Verzicht gegenüber der oberen Rechtsaufsichtsbehörde zu erklären ist und daß entsprechende Bestimmungen in die unverzüglich zu erlassenden Hauptsatzungen der neuen Gemeinden aufzunehmen sind.</w:t>
      </w:r>
    </w:p>
    <w:p>
      <w:r>
        <w:t xml:space="preserve">(2) Für die Dauer der laufenden Wahlperiode bilden die Gemeinderäte der einzugliedernden oder an einer Vereinigung beteiligten Gemeinden die Ortschaftsräte.</w:t>
      </w:r>
    </w:p>
    <w:p>
      <w:r>
        <w:t xml:space="preserve">(3) Gemäß Absatz 1 eingeführte Ortschaftsverfassungen können ohne Zustimmung des Ortschaftsrates frühestens zur übernächsten regelmäßigen Wahl des Gemeinderates aufgehoben werden.</w:t>
      </w:r>
    </w:p>
    <w:p>
      <w:r>
        <w:t xml:space="preserve">(4) Der Gemeinderat jeder einzugliedernden oder an einer Vereinigung beteiligten Gemeinde kann beschließen, daß dem Bürgermeister mit Wirksamwerden der Gebietsänderung bis zum Ablauf seiner Amtszeit das Amt des Ortsvorstehers übertragen wird; mit der Übertragung des Amtes ist er stimmberechtigtes Mitglied des Ortschaftsrates. Wird von der Befugnis nach Satz 1 Gebrauch gemacht, kann der Gemeinderat mit Zustimmung des Bürgermeisters auch bestimmen, daß dieser als Ortsvorsteher hauptamtlicher Beamter auf Zeit ist, wenn er dies bisher als Bürgermeister war. Endet die Amtszeit nach Satz 1 während der Wahlperiode des Ortschaftsrates, kann der Ortschaftsrat den Amtsinhaber für die verbleibende Wahlperiode als Ortsvorsteher wiederwählen. Die Wiederwahl findet frühestens zwei Monate vor Ablauf der Amtszeit, spätestens am Tage vor Ablauf der Amtszeit, statt. In diesem Falle bleibt der Ortsvorsteher stimmberechtigtes Mitglied des Ortschaftsrates. Er ist zum Ehrenbeamten auf Zeit zu ernennen.</w:t>
      </w:r>
    </w:p>
    <w:p>
      <w:r>
        <w:rPr>
          <w:color w:val="555555"/>
          <w:sz w:val="17"/>
        </w:rPr>
        <w:t xml:space="preserve">Zitiervorschlag: § 36 Gemeindegebietsreformgesetz Oberes Elbtal/Osterzgebirge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https://recht.nulegal.eu/gesetze/sn-2423/36</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