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Gemeindegebietsreformgesetz Oberes Elbtal/Osterzgebirge (Sachsen) — Ortsteilnamen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Namen der einzugliedernden oder an einer Vereinigung beteiligten Gemeinden werden Ortsteilnamen der aufnehmenden oder neugebildeten Gemeinden.</w:t>
      </w:r>
    </w:p>
    <w:p>
      <w:r>
        <w:t xml:space="preserve">(2) Verfügt eine einzugliedernde oder an einer Vereinigung beteiligte Gemeinde über mehrere benannte Ortsteile, werden abweichend von Absatz 1 die Ortsteilnamen der einzugliedernden oder an einer Vereinigung beteiligten Gemeinde Ortsteilnamen der aufnehmenden oder neugebildeten Gemeinde.</w:t>
      </w:r>
    </w:p>
    <w:p>
      <w:r>
        <w:t xml:space="preserve">(3) Das Benennungsrecht der Gemeinden nach § 5 Abs. 4 SächsGemO bleibt unberührt.</w:t>
      </w:r>
    </w:p>
    <w:p>
      <w:r>
        <w:rPr>
          <w:color w:val="555555"/>
          <w:sz w:val="17"/>
        </w:rPr>
        <w:t xml:space="preserve">Zitiervorschlag: § 34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