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Gemeindegebietsreformgesetz Oberes Elbtal/Osterzgebirge (Sachsen) — Gemeindenamen</w:t>
      </w:r>
    </w:p>
    <w:p>
      <w:r>
        <w:rPr>
          <w:color w:val="555555"/>
          <w:sz w:val="18"/>
        </w:rPr>
        <w:t xml:space="preserve">Gemeindegebietsreformgesetz Oberes Elbtal/Osterzgebirge</w:t>
      </w:r>
    </w:p>
    <w:p>
      <w:r>
        <w:rPr>
          <w:color w:val="555555"/>
          <w:sz w:val="18"/>
        </w:rPr>
        <w:t xml:space="preserve">Landesrecht Sachsen</w:t>
      </w:r>
    </w:p>
    <w:p>
      <w:r>
        <w:rPr>
          <w:color w:val="555555"/>
          <w:sz w:val="18"/>
        </w:rPr>
        <w:t xml:space="preserve">Stand: 26.08.2026 (konsolidierte Textfassung, kein amtliches Inkrafttretensdatum)</w:t>
      </w:r>
    </w:p>
    <w:p>
      <w:r>
        <w:t xml:space="preserve">(1) Wird durch dieses Gesetz eine Gemeinde neugebildet, können die an der Vereinigung beteiligten Gemeinden auch einen anderen als den durch dieses Gesetz bestimmten Namen vereinbaren. Die Vereinbarung des Namens bedarf der Genehmigung der Rechtsaufsichtsbehörde im Einvernehmen mit der obersten Rechtsaufsichtsbehörde. Die Rechtsaufsichtsbehörde macht den neuen Gemeindenamen im Sächsischen Amtsblatt bekannt.</w:t>
      </w:r>
    </w:p>
    <w:p>
      <w:r>
        <w:t xml:space="preserve">(2) Die Änderung des Gemeindenamens durch die neugebildete Gemeinde gemäß § 5 Abs. 1 der Gemeindeordnung für den Freistaat Sachsen ( SächsGemO ) vom 21. April 1993 (SächsGVBl. S. 301, 445), zuletzt geändert durch Artikel 1 des Gesetzes vom 20. Februar 1997 (SächsGVBl. S. 105), bedarf bis zum 31. Dezember 2003 einer Mehrheit von zwei Dritteln der Stimmen der Mitglieder des Gemeinderates.</w:t>
      </w:r>
    </w:p>
    <w:p>
      <w:r>
        <w:rPr>
          <w:color w:val="555555"/>
          <w:sz w:val="17"/>
        </w:rPr>
        <w:t xml:space="preserve">Zitiervorschlag: § 33 Gemeindegebietsreformgesetz Oberes Elbtal/Osterzgebirge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https://recht.nulegal.eu/gesetze/sn-2423/33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