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Gemeindegebietsreformgesetz Oberes Elbtal/Osterzgebirge (Sachsen) — Folgen der Gebietsänderungen</w:t>
      </w:r>
    </w:p>
    <w:p>
      <w:r>
        <w:rPr>
          <w:color w:val="555555"/>
          <w:sz w:val="18"/>
        </w:rPr>
        <w:t xml:space="preserve">Gemeindegebietsreformgesetz Oberes Elbtal/Osterzgebirge</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Folgen der Eingliederung oder Vereinigung regeln, soweit erforderlich, die beteiligten Gemeinden durch Vereinbarung, soweit sie durch dieses Gesetz nicht oder nicht abschließend geregelt werden. Gegenstand der Vereinbarung soll insbesondere sein:</w:t>
      </w:r>
    </w:p>
    <w:p>
      <w:r>
        <w:t xml:space="preserve">1. der Erhalt der Gemeindefeuerwehr als Ortsfeuerwehr der aufnehmenden oder neugebildeten Gemeinde,</w:t>
      </w:r>
    </w:p>
    <w:p>
      <w:r>
        <w:t xml:space="preserve">2. die Behandlung der Registraturunterlagen und des Archiv- und Schriftgutes der einzugliedernden oder an einer Vereinigung beteiligten Gemeinde,</w:t>
      </w:r>
    </w:p>
    <w:p>
      <w:r>
        <w:t xml:space="preserve">3. die Fortführung der Aufstellung von Bebauungsplänen, Vorhaben- und Erschließungsplänen sowie Abrundungssatzungen,</w:t>
      </w:r>
    </w:p>
    <w:p>
      <w:r>
        <w:t xml:space="preserve">4. die Erhaltung, Schaffung und Unterhaltung von Infrastruktureinrichtungen sowie die Weiterführung von in der Planung befindlichen oder bereits begonnenen Infrastruktureinrichtungen,</w:t>
      </w:r>
    </w:p>
    <w:p>
      <w:r>
        <w:t xml:space="preserve">5. die Fortführung kommunaler Dorfentwicklungsmaßnahmen und beschlossener Verfahren zur ländlichen Neuordnung.</w:t>
      </w:r>
    </w:p>
    <w:p>
      <w:r>
        <w:t xml:space="preserve">Kommt eine Vereinbarung gemäß Satz 1 zustande, hat diese auch Bestimmungen über die befristete Vertretung der eingegliederten oder an der Vereinigung beteiligten Gemeinde bei Streitigkeiten über die Vereinbarung zu enthalten. Die Vereinbarung bedarf der Genehmigung der Rechtsaufsichtsbehörde. Kommt eine erforderliche Vereinbarung bis zum 1. Januar 1999 nicht zustande oder enthält sie keine hinreichende Regelung, trifft die Rechtsaufsichtsbehörde nach Anhörung der aufnehmenden oder neugebildeten Gemeinde und des Ortschaftsrates der eingegliederten oder an der Vereinigung beteiligten Gemeinde die im Interesse des öffentlichen Wohls erforderlichen Bestimmungen bis grundsätzlich spätestens zum 30. April 1999; Satz 2 gilt entsprechend.</w:t>
      </w:r>
    </w:p>
    <w:p>
      <w:r>
        <w:t xml:space="preserve">(2) Für Verfahren über die Wirksamkeit der durch dieses Gesetz bestimmten Eingliederung oder Vereinigung von Gemeinden und zur Wahrnehmung der Rechte hinsichtlich Vereinbarungen oder rechtsaufsichtlicher Bestimmungen nach Absatz 1 gelten die Gemeinden solange als fortbestehend, bis eine Entscheidung über die Wirksamkeit der Eingliederung oder Vereinigung oder über die Wahrnehmung der Rechte hinsichtlich Vereinbarungen oder rechtsaufsichtlicher Bestimmungen nach Absatz 1 unanfechtbar wird, längstens jedoch bis zum 31. Dezember 2010.</w:t>
      </w:r>
    </w:p>
    <w:p>
      <w:r>
        <w:rPr>
          <w:color w:val="555555"/>
          <w:sz w:val="17"/>
        </w:rPr>
        <w:t xml:space="preserve">Zitiervorschlag: § 31 Gemeindegebietsreformgesetz Oberes Elbtal/Osterzgebirge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https://recht.nulegal.eu/gesetze/sn-2423/31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