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Gemeindegebietsreformgesetz Oberes Elbtal/Osterzgebirge (Sachsen) — Rechtsnachfolge</w:t>
      </w:r>
    </w:p>
    <w:p>
      <w:r>
        <w:rPr>
          <w:color w:val="555555"/>
          <w:sz w:val="18"/>
        </w:rPr>
        <w:t xml:space="preserve">Gemeindegebietsreformgesetz Oberes Elbtal/Osterzgebirge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neugebildeten Gemeinden sind Rechtsnachfolger der an der Vereinigung beteiligten Gemeinden, die aufnehmenden Gemeinden sind Rechtsnachfolger der eingegliederten Gemeinden. Im Falle des § 14 ist die neugebildete Gemeinde auch Rechtsnachfolgerin des Verwaltungsverbandes.</w:t>
      </w:r>
    </w:p>
    <w:p>
      <w:r>
        <w:rPr>
          <w:color w:val="555555"/>
          <w:sz w:val="17"/>
        </w:rPr>
        <w:t xml:space="preserve">Zitiervorschlag: § 30 Gemeindegebietsreformgesetz Oberes Elbtal/Osterzgebirge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https://recht.nulegal.eu/gesetze/sn-2423/30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