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Gemeindegebietsreformgesetz Oberes Elbtal/Osterzgebirge (Sachsen) — Verwaltungseinheit Bad Schandau</w:t>
      </w:r>
    </w:p>
    <w:p>
      <w:r>
        <w:rPr>
          <w:color w:val="555555"/>
          <w:sz w:val="18"/>
        </w:rPr>
        <w:t xml:space="preserve">Gemeindegebietsreformgesetz Oberes Elbtal/Osterzgebirge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 Krippen wird in die Stadt Bad Schandau eingegliedert.</w:t>
      </w:r>
    </w:p>
    <w:p>
      <w:r>
        <w:t xml:space="preserve">(2) Zwischen der Stadt Bad Schandau als erfüllender Gemeinde und den Gemeinden Porschdorf, Rathmannsdorf und Reinhardtsdorf-Schöna ist eine Verwaltungsgemeinschaft zu vereinbaren.</w:t>
      </w:r>
    </w:p>
    <w:p>
      <w:r>
        <w:rPr>
          <w:color w:val="555555"/>
          <w:sz w:val="17"/>
        </w:rPr>
        <w:t xml:space="preserve">Zitiervorschlag: § 26 Gemeindegebietsreformgesetz Oberes Elbtal/Osterzgebirge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https://recht.nulegal.eu/gesetze/sn-2423/26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