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Gemeindegebietsreformgesetz Oberes Elbtal/Osterzgebirge (Sachsen) — Verwaltungseinheit Bad Gottleuba-Berggießhübel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Verwaltungsverband Berggießhübel-Land wird aufgelöst.</w:t>
      </w:r>
    </w:p>
    <w:p>
      <w:r>
        <w:t xml:space="preserve">(2) Die Städte Bad Gottleuba und Berggießhübel sowie die Gemeinden Bahratal und Langenhennersdorf werden zur Stadt Bad Gottleuba-Berggießhübel vereinigt.</w:t>
      </w:r>
    </w:p>
    <w:p>
      <w:r>
        <w:t xml:space="preserve">(3) Zwischen der Stadt Bad Gottleuba-Berggießhübel als erfüllender Gemeinde und der Stadt Liebstadt sowie der Gemeinde Bahretal ist eine Verwaltungsgemeinschaft zu vereinbaren.</w:t>
      </w:r>
    </w:p>
    <w:p>
      <w:r>
        <w:rPr>
          <w:color w:val="555555"/>
          <w:sz w:val="17"/>
        </w:rPr>
        <w:t xml:space="preserve">Zitiervorschlag: § 24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