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Gemeindegebietsreformgesetz Oberes Elbtal/Osterzgebirge (Sachsen) — Verwaltungseinheit Pirna</w:t>
      </w:r>
    </w:p>
    <w:p>
      <w:r>
        <w:rPr>
          <w:color w:val="555555"/>
          <w:sz w:val="18"/>
        </w:rPr>
        <w:t xml:space="preserve">Gemeindegebietsreformgesetz Oberes Elbtal/Osterzgebirge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Gemeinden Birkwitz-Pratzschwitz und Graupa werden in die Große Kreisstadt Pirna eingegliedert.</w:t>
      </w:r>
    </w:p>
    <w:p>
      <w:r>
        <w:t xml:space="preserve">(2) Zwischen der Großen Kreisstadt Pirna als erfüllender Gemeinde und der Gemeinde Dohma ist eine Verwaltungsgemeinschaft zu vereinbaren.</w:t>
      </w:r>
    </w:p>
    <w:p>
      <w:r>
        <w:rPr>
          <w:color w:val="555555"/>
          <w:sz w:val="17"/>
        </w:rPr>
        <w:t xml:space="preserve">Zitiervorschlag: § 22 Gemeindegebietsreformgesetz Oberes Elbtal/Osterzgebirge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https://recht.nulegal.eu/gesetze/sn-2423/22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