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Gemeindegebietsreformgesetz Oberes Elbtal/Osterzgebirge (Sachsen) — Verwaltungseinheit Altenberg</w:t>
      </w:r>
    </w:p>
    <w:p>
      <w:r>
        <w:rPr>
          <w:color w:val="555555"/>
          <w:sz w:val="18"/>
        </w:rPr>
        <w:t xml:space="preserve">Gemeindegebietsreformgesetz Oberes Elbtal/Osterzgebirge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Bärenfels und Falkenhain werden in die Stadt Altenberg eingegliedert.</w:t>
      </w:r>
    </w:p>
    <w:p>
      <w:r>
        <w:t xml:space="preserve">(2) Zwischen der Stadt Altenberg als erfüllender Gemeinde und der Stadt Bärenstein sowie der Gemeinde Hermsdorf/Erzgeb. ist eine Verwaltungsgemeinschaft zu vereinbaren.</w:t>
      </w:r>
    </w:p>
    <w:p>
      <w:r>
        <w:rPr>
          <w:color w:val="555555"/>
          <w:sz w:val="17"/>
        </w:rPr>
        <w:t xml:space="preserve">Zitiervorschlag: § 21 Gemeindegebietsreformgesetz Oberes Elbtal/Osterzgebirge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https://recht.nulegal.eu/gesetze/sn-2423/21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