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Gemeindegebietsreformgesetz Oberes Elbtal/Osterzgebirge (Sachsen) — Verwaltungseinheit Pretzschendorf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Verwaltungsverband An der Talsperre Klingenberg wird aufgelöst.</w:t>
      </w:r>
    </w:p>
    <w:p>
      <w:r>
        <w:t xml:space="preserve">(2) Die Gemeinden Colmnitz, Klingenberg und Pretzschendorf werden zur Gemeinde Pretzschendorf vereinigt.</w:t>
      </w:r>
    </w:p>
    <w:p>
      <w:r>
        <w:t xml:space="preserve">(3) Zwischen der Gemeinde Pretzschendorf als erfüllender Gemeinde und der Gemeinde Hartmannsdorf-Reichenau ist eine Verwaltungsgemeinschaft zu vereinbaren.</w:t>
      </w:r>
    </w:p>
    <w:p>
      <w:r>
        <w:rPr>
          <w:color w:val="555555"/>
          <w:sz w:val="17"/>
        </w:rPr>
        <w:t xml:space="preserve">Zitiervorschlag: § 20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