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Gemeindegebietsreformgesetz Oberes Elbtal/Osterzgebirge (Sachsen) — Verwaltungseinheit Tharandt</w:t>
      </w:r>
    </w:p>
    <w:p>
      <w:r>
        <w:rPr>
          <w:color w:val="555555"/>
          <w:sz w:val="18"/>
        </w:rPr>
        <w:t xml:space="preserve">Gemeindegebietsreformgesetz Oberes Elbtal/Osterzgebirge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Tharandt und die Gemeinden Kurort Hartha und Pohrsdorf werden zur Stadt Tharandt vereinigt.</w:t>
      </w:r>
    </w:p>
    <w:p>
      <w:r>
        <w:t xml:space="preserve">(2) Zwischen der Stadt Tharandt als erfüllender Gemeinde und der Gemeinde Dorfhain ist eine Verwaltungsgemeinschaft zu vereinbaren.</w:t>
      </w:r>
    </w:p>
    <w:p>
      <w:r>
        <w:rPr>
          <w:color w:val="555555"/>
          <w:sz w:val="17"/>
        </w:rPr>
        <w:t xml:space="preserve">Zitiervorschlag: § 18 Gemeindegebietsreformgesetz Oberes Elbtal/Osterzgebirge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https://recht.nulegal.eu/gesetze/sn-2423/18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