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Gemeindegebietsreformgesetz Oberes Elbtal/Osterzgebirge (Sachsen) — Verwaltungseinheit Nossen</w:t>
      </w:r>
    </w:p>
    <w:p>
      <w:r>
        <w:rPr>
          <w:color w:val="555555"/>
          <w:sz w:val="18"/>
        </w:rPr>
        <w:t xml:space="preserve">Gemeindegebietsreformgesetz Oberes Elbtal/Osterzgebirge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Zwischen der Stadt Nossen als erfüllender Gemeinde und der Gemeinde Heynitz ist eine Verwaltungsgemeinschaft zu vereinbaren.</w:t>
      </w:r>
    </w:p>
    <w:p>
      <w:r>
        <w:rPr>
          <w:color w:val="555555"/>
          <w:sz w:val="17"/>
        </w:rPr>
        <w:t xml:space="preserve">Zitiervorschlag: § 17 Gemeindegebietsreformgesetz Oberes Elbtal/Osterzgebirge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https://recht.nulegal.eu/gesetze/sn-2423/17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