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Gemeindegebietsreformgesetz Oberes Elbtal/Osterzgebirge (Sachsen) — Verwaltungseinheit Klipphausen</w:t>
      </w:r>
    </w:p>
    <w:p>
      <w:r>
        <w:rPr>
          <w:color w:val="555555"/>
          <w:sz w:val="18"/>
        </w:rPr>
        <w:t xml:space="preserve">Gemeindegebietsreformgesetz Oberes Elbtal/Osterzgebirge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Verwaltungsverband Linkselbische Täler und die Gemeinden Gauernitz, Klipphausen und Scharfenberg werden zur Gemeinde Klipphausen vereinigt.</w:t>
      </w:r>
    </w:p>
    <w:p>
      <w:r>
        <w:rPr>
          <w:color w:val="555555"/>
          <w:sz w:val="17"/>
        </w:rPr>
        <w:t xml:space="preserve">Zitiervorschlag: § 14 Gemeindegebietsreformgesetz Oberes Elbtal/Osterzgebirge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https://recht.nulegal.eu/gesetze/sn-2423/14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